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38"/>
        <w:gridCol w:w="597"/>
        <w:gridCol w:w="237"/>
        <w:gridCol w:w="1771"/>
        <w:gridCol w:w="1424"/>
        <w:gridCol w:w="1223"/>
        <w:gridCol w:w="590"/>
        <w:gridCol w:w="619"/>
        <w:gridCol w:w="717"/>
      </w:tblGrid>
      <w:tr w:rsidR="00D53ECB" w:rsidRPr="00D53ECB" w:rsidTr="0078411B">
        <w:trPr>
          <w:trHeight w:val="300"/>
        </w:trPr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Institute of Cyberphysical Systems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EC8" w:rsidRPr="000C3FA4" w:rsidRDefault="000C5EC8" w:rsidP="000C5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2023/24 academic year</w:t>
            </w:r>
          </w:p>
          <w:p w:rsidR="00D53ECB" w:rsidRPr="000C3FA4" w:rsidRDefault="000C5EC8" w:rsidP="000C5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I. semester</w:t>
            </w:r>
          </w:p>
        </w:tc>
      </w:tr>
      <w:tr w:rsidR="00D53ECB" w:rsidRPr="00D53ECB" w:rsidTr="0078411B">
        <w:trPr>
          <w:trHeight w:val="300"/>
        </w:trPr>
        <w:tc>
          <w:tcPr>
            <w:tcW w:w="27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Name of the subject: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Code of the subject: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Credits: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Weekly hours: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135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lec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sem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lab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135"/>
        </w:trPr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hAnsi="Times New Roman" w:cs="Times New Roman"/>
              </w:rPr>
              <w:t>Modern computer architectures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0C5EC8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NIXKA2HBNE</w:t>
            </w:r>
            <w:r w:rsidR="00D53ECB"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A06AF0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full-time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411B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2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D53ECB" w:rsidRPr="0078411B" w:rsidRDefault="0078411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8411B">
              <w:rPr>
                <w:rFonts w:ascii="Times New Roman" w:eastAsia="Times New Roman" w:hAnsi="Times New Roman" w:cs="Times New Roman"/>
                <w:b/>
                <w:lang w:eastAsia="hu-HU"/>
              </w:rPr>
              <w:t>online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0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0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Responsible person for the subject: Prof. Dr. Dezső SIMA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Classification: professor emeritus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30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Subject lecturer(s): 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BF27D7" w:rsidRPr="00BF27D7">
              <w:rPr>
                <w:rFonts w:ascii="Times New Roman" w:eastAsia="Times New Roman" w:hAnsi="Times New Roman" w:cs="Times New Roman"/>
                <w:lang w:eastAsia="hu-HU"/>
              </w:rPr>
              <w:t>Prof. Dr. Dezső SIMA</w:t>
            </w:r>
          </w:p>
        </w:tc>
      </w:tr>
      <w:tr w:rsidR="00D53ECB" w:rsidRPr="00D53ECB" w:rsidTr="0078411B">
        <w:trPr>
          <w:trHeight w:val="300"/>
        </w:trPr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Prerequisites: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NBXSS1EBNF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Introducti</w:t>
            </w:r>
            <w:r w:rsidR="00BF27D7">
              <w:rPr>
                <w:rFonts w:ascii="Times New Roman" w:eastAsia="Times New Roman" w:hAnsi="Times New Roman" w:cs="Times New Roman"/>
                <w:lang w:val="en-GB" w:eastAsia="hu-HU"/>
              </w:rPr>
              <w:t xml:space="preserve">on to Computer Architectures   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Way of the assessment: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exam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495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Course description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Goal: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053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The lecture aims at the familiarization of students with key notions, </w:t>
            </w:r>
            <w:r w:rsidR="00053F4A">
              <w:rPr>
                <w:rFonts w:ascii="Times New Roman" w:eastAsia="Times New Roman" w:hAnsi="Times New Roman" w:cs="Times New Roman"/>
                <w:lang w:val="en-GB" w:eastAsia="hu-HU"/>
              </w:rPr>
              <w:t xml:space="preserve">main </w:t>
            </w: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relationships and unfolding trends concerning processors. Case examples help to understand the curriculum.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Course description: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0F18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Overview of the evolution of Intel’s Core 2-based client-, HEDT-, server- and mobile processors. Cornerstones of AMD’s Zen family, evolution of Zen-based processor lines. Key features of the evolution of ARM’s ISA, and Armv8/v9-based CPU-s. Basics of power management. Power management techniques at the circuit-, processor- and platform level. Turbo boost techniques. Evolution of the micro-architecture of mobile processors, symmetric, big.little and dynamIQ multicores. </w:t>
            </w:r>
          </w:p>
        </w:tc>
      </w:tr>
      <w:tr w:rsidR="00D53ECB" w:rsidRPr="00D53ECB" w:rsidTr="000F18C6">
        <w:trPr>
          <w:trHeight w:val="300"/>
        </w:trPr>
        <w:tc>
          <w:tcPr>
            <w:tcW w:w="9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51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Lecture schedule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Education week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Topic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1.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Overview of Intel’s Core 2 family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2.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Overview of Intel’s Core 2 family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3.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Overview of Intel’s Core 2 family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4.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Overview of AMD’s Zen family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5.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Overview of AMD’s Zen family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6.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Overview of AMD’s Zen family, 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Mid-term test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7.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Evolution of the Arm ISA and Armv8/v9-based CPU-s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8.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Evolution of the Arm ISA and Armv8/v9-based CPU-s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9.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Evolution of the Arm ISA and Armv8/v9-based CPU-s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10.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Power management</w:t>
            </w:r>
            <w:r w:rsidR="00D53ECB"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11.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Power management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12.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0F18C6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Evolution of mobil</w:t>
            </w:r>
            <w:r w:rsidR="00A06AF0">
              <w:rPr>
                <w:rFonts w:ascii="Times New Roman" w:eastAsia="Times New Roman" w:hAnsi="Times New Roman" w:cs="Times New Roman"/>
                <w:lang w:val="en-GB" w:eastAsia="hu-HU"/>
              </w:rPr>
              <w:t>e</w:t>
            </w: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processors</w:t>
            </w:r>
          </w:p>
        </w:tc>
      </w:tr>
      <w:tr w:rsidR="0078411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11B" w:rsidRPr="000C3FA4" w:rsidRDefault="0078411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lang w:val="en-GB" w:eastAsia="hu-HU"/>
              </w:rPr>
              <w:t>13.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78411B" w:rsidRPr="000C3FA4" w:rsidRDefault="0078411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lang w:val="en-GB" w:eastAsia="hu-HU"/>
              </w:rPr>
              <w:t xml:space="preserve">Online </w:t>
            </w:r>
            <w:r w:rsidRPr="0078411B">
              <w:rPr>
                <w:rFonts w:ascii="Times New Roman" w:eastAsia="Times New Roman" w:hAnsi="Times New Roman" w:cs="Times New Roman"/>
                <w:lang w:val="en-GB" w:eastAsia="hu-HU"/>
              </w:rPr>
              <w:t>consultation opportunity</w:t>
            </w:r>
          </w:p>
        </w:tc>
      </w:tr>
      <w:tr w:rsidR="00D53ECB" w:rsidRPr="00D53ECB" w:rsidTr="000F18C6">
        <w:trPr>
          <w:trHeight w:val="555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Mid-term requirements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Conditions for obtaining a mid-term grade/signature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57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Assessment schedule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Education week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Topic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3ECB" w:rsidRPr="00D53ECB" w:rsidTr="000F18C6">
        <w:trPr>
          <w:trHeight w:val="495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lastRenderedPageBreak/>
              <w:t xml:space="preserve">Method used to calculate the </w:t>
            </w:r>
            <w:r w:rsidRPr="000C3F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hu-HU"/>
              </w:rPr>
              <w:t>mid-term grade</w:t>
            </w: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(to be filled out only for subjects with mid-term grades)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30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435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Type of the replacement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Type of the replacement of written test/mid-term grade/signature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42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 xml:space="preserve">Type of the exam </w:t>
            </w: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(to be filled out only for subjects with exams)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30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Multiple-choice or explanatory written exam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465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 xml:space="preserve">Calculation of the exam mark </w:t>
            </w: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(to be filled only for subjects with exams)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30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3ECB" w:rsidRPr="00D53ECB" w:rsidTr="000F18C6">
        <w:trPr>
          <w:trHeight w:val="30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​​Final grade calculation methods:​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300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0%-49% 1 (failed)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50%-62% 2 (satisfactory)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63%-74% 3 (average)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75%-84% 4 (good)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85%-100% 5 (excellent)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0F18C6">
        <w:trPr>
          <w:trHeight w:val="465"/>
        </w:trPr>
        <w:tc>
          <w:tcPr>
            <w:tcW w:w="9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53ECB" w:rsidRPr="000C3FA4" w:rsidRDefault="00D53ECB" w:rsidP="00D53E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b/>
                <w:bCs/>
                <w:lang w:val="en-GB" w:eastAsia="hu-HU"/>
              </w:rPr>
              <w:t>References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D53ECB" w:rsidRPr="00D53ECB" w:rsidTr="0078411B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Obligatory: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3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Electronic textbook available in the Moodle. </w:t>
            </w:r>
          </w:p>
        </w:tc>
      </w:tr>
      <w:tr w:rsidR="00D53ECB" w:rsidRPr="00D53ECB" w:rsidTr="0078411B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Recommended: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3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3ECB" w:rsidRPr="00D53ECB" w:rsidTr="0078411B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val="en-GB" w:eastAsia="hu-HU"/>
              </w:rPr>
              <w:t>Other references:</w:t>
            </w: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3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D53ECB" w:rsidRPr="000C3FA4" w:rsidRDefault="00D53ECB" w:rsidP="00D53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0C3FA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923DB7" w:rsidRDefault="00923DB7"/>
    <w:p w:rsidR="00BF27D7" w:rsidRDefault="00BF27D7"/>
    <w:p w:rsidR="00BF27D7" w:rsidRDefault="00BF27D7">
      <w:bookmarkStart w:id="0" w:name="_GoBack"/>
      <w:bookmarkEnd w:id="0"/>
    </w:p>
    <w:sectPr w:rsidR="00BF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B"/>
    <w:rsid w:val="00053F4A"/>
    <w:rsid w:val="0005651B"/>
    <w:rsid w:val="000C3FA4"/>
    <w:rsid w:val="000C5EC8"/>
    <w:rsid w:val="000F18C6"/>
    <w:rsid w:val="003B0301"/>
    <w:rsid w:val="005742A3"/>
    <w:rsid w:val="0078411B"/>
    <w:rsid w:val="00923DB7"/>
    <w:rsid w:val="00A06AF0"/>
    <w:rsid w:val="00BF27D7"/>
    <w:rsid w:val="00D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EF4B"/>
  <w15:chartTrackingRefBased/>
  <w15:docId w15:val="{AB598681-DCF6-407E-8205-C17367C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D5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D53ECB"/>
  </w:style>
  <w:style w:type="character" w:customStyle="1" w:styleId="eop">
    <w:name w:val="eop"/>
    <w:basedOn w:val="Bekezdsalapbettpusa"/>
    <w:rsid w:val="00D53ECB"/>
  </w:style>
  <w:style w:type="character" w:customStyle="1" w:styleId="findhit">
    <w:name w:val="findhit"/>
    <w:basedOn w:val="Bekezdsalapbettpusa"/>
    <w:rsid w:val="00D53ECB"/>
  </w:style>
  <w:style w:type="character" w:customStyle="1" w:styleId="contentcontrolboundarysink">
    <w:name w:val="contentcontrolboundarysink"/>
    <w:basedOn w:val="Bekezdsalapbettpusa"/>
    <w:rsid w:val="00D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Bertók-Kőhalmi Vivien</dc:creator>
  <cp:keywords/>
  <dc:description/>
  <cp:lastModifiedBy>Sarlós Tímea</cp:lastModifiedBy>
  <cp:revision>2</cp:revision>
  <dcterms:created xsi:type="dcterms:W3CDTF">2024-01-22T07:39:00Z</dcterms:created>
  <dcterms:modified xsi:type="dcterms:W3CDTF">2024-01-22T07:39:00Z</dcterms:modified>
</cp:coreProperties>
</file>